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0B087C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687ECE" w14:paraId="69D9052B" w14:textId="77777777" w:rsidTr="000B087C">
        <w:trPr>
          <w:trHeight w:val="311"/>
        </w:trPr>
        <w:tc>
          <w:tcPr>
            <w:tcW w:w="5000" w:type="pct"/>
            <w:gridSpan w:val="2"/>
          </w:tcPr>
          <w:p w14:paraId="1FB9EF26" w14:textId="77777777" w:rsidR="00687ECE" w:rsidRDefault="00687ECE" w:rsidP="00687ECE">
            <w:r>
              <w:t>Hudson PL, Toye C, Kristjanson LJ. Would people with Parkinson's disease benefit from palliative care? Palliat Med. 2006;20(2):87-94.</w:t>
            </w:r>
          </w:p>
          <w:p w14:paraId="3BFCBC85" w14:textId="79507C35" w:rsidR="003D481B" w:rsidRDefault="003D481B" w:rsidP="00687ECE"/>
        </w:tc>
      </w:tr>
      <w:tr w:rsidR="003D481B" w14:paraId="3051C028" w14:textId="77777777" w:rsidTr="000B087C">
        <w:trPr>
          <w:trHeight w:val="311"/>
        </w:trPr>
        <w:tc>
          <w:tcPr>
            <w:tcW w:w="2500" w:type="pct"/>
          </w:tcPr>
          <w:p w14:paraId="394073D1" w14:textId="3FEE6DDC" w:rsidR="003D481B" w:rsidRDefault="003D481B" w:rsidP="00687ECE">
            <w:r>
              <w:t>Agreement</w:t>
            </w:r>
          </w:p>
        </w:tc>
        <w:tc>
          <w:tcPr>
            <w:tcW w:w="2500" w:type="pct"/>
          </w:tcPr>
          <w:p w14:paraId="2BBDED9F" w14:textId="288BF040" w:rsidR="003D481B" w:rsidRDefault="003D481B" w:rsidP="00687ECE">
            <w:r>
              <w:t>103/850</w:t>
            </w:r>
          </w:p>
        </w:tc>
      </w:tr>
      <w:tr w:rsidR="000B087C" w14:paraId="74DFACD1" w14:textId="77777777" w:rsidTr="000B087C">
        <w:trPr>
          <w:trHeight w:val="311"/>
        </w:trPr>
        <w:tc>
          <w:tcPr>
            <w:tcW w:w="2500" w:type="pct"/>
          </w:tcPr>
          <w:p w14:paraId="0B90F764" w14:textId="6472DD50" w:rsidR="000B087C" w:rsidRDefault="000B087C" w:rsidP="00687ECE">
            <w:r>
              <w:t>Final Agreement</w:t>
            </w:r>
          </w:p>
        </w:tc>
        <w:tc>
          <w:tcPr>
            <w:tcW w:w="2500" w:type="pct"/>
          </w:tcPr>
          <w:p w14:paraId="536F6E1A" w14:textId="07A699A4" w:rsidR="000B087C" w:rsidRDefault="000B087C" w:rsidP="00687ECE">
            <w:r>
              <w:t>125/850</w:t>
            </w:r>
          </w:p>
        </w:tc>
      </w:tr>
      <w:tr w:rsidR="000B087C" w14:paraId="3DD36D6C" w14:textId="77777777" w:rsidTr="000B087C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0B087C" w:rsidRPr="003415C6" w:rsidRDefault="000B087C" w:rsidP="00687ECE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0B087C" w14:paraId="12F66749" w14:textId="77777777" w:rsidTr="000B087C">
        <w:trPr>
          <w:trHeight w:val="311"/>
        </w:trPr>
        <w:tc>
          <w:tcPr>
            <w:tcW w:w="5000" w:type="pct"/>
            <w:gridSpan w:val="2"/>
          </w:tcPr>
          <w:p w14:paraId="4B9C6567" w14:textId="77777777" w:rsidR="000B087C" w:rsidRPr="00B03875" w:rsidRDefault="000B087C" w:rsidP="00E62B25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03875">
              <w:rPr>
                <w:rFonts w:cstheme="minorHAnsi"/>
              </w:rPr>
              <w:t>Participants reported frustration with the system for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home modifications: access was limited and, in some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instances, funding was only available for one year and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modifications were commonly not completed within the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agreed time. Some caregivers also found the funding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system inequitable</w:t>
            </w:r>
          </w:p>
          <w:p w14:paraId="0D2F436A" w14:textId="77777777" w:rsidR="000B087C" w:rsidRDefault="000B087C" w:rsidP="00E62B25"/>
          <w:p w14:paraId="3AD64BEA" w14:textId="0B037C79" w:rsidR="002A428E" w:rsidRDefault="000B087C" w:rsidP="000B087C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B03875">
              <w:rPr>
                <w:rFonts w:cstheme="minorHAnsi"/>
              </w:rPr>
              <w:t>Preparation for things such as a medical appointment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presented inordinate difficulties. Time was an issue,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as expressed by this caregiver</w:t>
            </w:r>
            <w:r w:rsidRPr="00897347">
              <w:rPr>
                <w:rFonts w:cstheme="minorHAnsi"/>
                <w:i/>
                <w:iCs/>
              </w:rPr>
              <w:t>, ‘he can take up to two hours so what I do now to avoid irritation I tell him two hours before we need to go to get ready.’ (No. 177)</w:t>
            </w:r>
            <w:r>
              <w:rPr>
                <w:rFonts w:cstheme="minorHAnsi"/>
              </w:rPr>
              <w:t xml:space="preserve"> </w:t>
            </w:r>
            <w:r w:rsidR="002A428E">
              <w:rPr>
                <w:rFonts w:cstheme="minorHAnsi"/>
              </w:rPr>
              <w:t>Qcarer</w:t>
            </w:r>
            <w:bookmarkStart w:id="0" w:name="_GoBack"/>
            <w:bookmarkEnd w:id="0"/>
          </w:p>
          <w:p w14:paraId="6D3CDD1D" w14:textId="041F2B8C" w:rsidR="000B087C" w:rsidRPr="00B03875" w:rsidRDefault="000B087C" w:rsidP="000B087C">
            <w:pPr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B03875">
              <w:rPr>
                <w:rFonts w:cstheme="minorHAnsi"/>
              </w:rPr>
              <w:t>Transport was also problematic, especially getting in and</w:t>
            </w:r>
            <w:r>
              <w:rPr>
                <w:rFonts w:cstheme="minorHAnsi"/>
              </w:rPr>
              <w:t xml:space="preserve"> </w:t>
            </w:r>
            <w:r w:rsidRPr="00B03875">
              <w:rPr>
                <w:rFonts w:cstheme="minorHAnsi"/>
              </w:rPr>
              <w:t>out of the car.</w:t>
            </w:r>
          </w:p>
          <w:p w14:paraId="31C53BA1" w14:textId="77777777" w:rsidR="000B087C" w:rsidRDefault="000B087C" w:rsidP="00E62B25"/>
          <w:p w14:paraId="6436520B" w14:textId="768D528C" w:rsidR="000B087C" w:rsidRDefault="000B087C" w:rsidP="00E62B25">
            <w:r w:rsidRPr="002A428E">
              <w:rPr>
                <w:rFonts w:cstheme="minorHAnsi"/>
              </w:rPr>
              <w:t>Individual counselling sessions with trained health professionals were reported to be beneficial, but could be expensive to maintain on a regular basis</w:t>
            </w:r>
          </w:p>
        </w:tc>
      </w:tr>
    </w:tbl>
    <w:p w14:paraId="03F9E294" w14:textId="77777777" w:rsidR="001F7D95" w:rsidRDefault="001F7D95" w:rsidP="00687ECE"/>
    <w:sectPr w:rsidR="001F7D95" w:rsidSect="000B08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017FE9"/>
    <w:rsid w:val="000B087C"/>
    <w:rsid w:val="0018140D"/>
    <w:rsid w:val="001F7D95"/>
    <w:rsid w:val="002A428E"/>
    <w:rsid w:val="003415C6"/>
    <w:rsid w:val="00360040"/>
    <w:rsid w:val="003D481B"/>
    <w:rsid w:val="00687ECE"/>
    <w:rsid w:val="00755AE9"/>
    <w:rsid w:val="00E62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23DC6-9BE3-4B50-B755-AEB864195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8</cp:revision>
  <dcterms:created xsi:type="dcterms:W3CDTF">2020-06-09T13:32:00Z</dcterms:created>
  <dcterms:modified xsi:type="dcterms:W3CDTF">2020-07-09T10:43:00Z</dcterms:modified>
</cp:coreProperties>
</file>